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rvxnzr4jm6r1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ARBORIST (GROUND WORKER)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Arborist Ground Worker supports tree care operations by maintaining worksite safety, assisting climbers, and handling ground-level tasks. This role ensures efficient cleanup, equipment organization, and overall site maintenance.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 effective Arborist Ground Worker works well in a team, follows safety protocols, and efficiently manages debris and equipment. This person is proactive, safety-conscious, and detail-oriented.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climbers by managing ropes, tools, and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worksite remains clean, organized, and hazard-free.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Load, unload, and operate chainsaws, chippers, and other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Collect and process tree limbs, branches, and debris.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all safety protocols, including wearing protective gear.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basic maintenance on tools and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surroundings for potential hazards.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emergency tree removal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24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related duties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tree care, landscaping, or outdoor labour.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tree care tools and machinery.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workplace safety standards.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equivalent required; arboriculture training is a plus.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and CPR certification is an asset.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Teamwork and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Attention to detail and safety awareness.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follow instructions and adapt to changing tasks.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Schedule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9:00 AM to 5:00 PM, Monday through Friday].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is performed outdoors in various weather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Exposure to loud noise, dust, and heavy machinery.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Requires regular lifting up to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XX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pounds, bending, and standing for extended periods.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overtime and emergency call-outs.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Personal protective equipment must be worn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7YluCFRVvvW9KwomaP5SAD9ag==">CgMxLjAyDmgucnZ4bnpyNGptNnIxOAByITFTak1XSTNZbUw5d1hqc1IyWXpwcHZzVDVwTEtSUnpWbQ==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